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8DB7" w14:textId="2CF60DE0" w:rsidR="00DD25E4" w:rsidRDefault="00DD25E4" w:rsidP="00DD25E4">
      <w:r>
        <w:rPr>
          <w:rFonts w:hint="eastAsia"/>
        </w:rPr>
        <w:t xml:space="preserve">タイトル　</w:t>
      </w:r>
      <w:r w:rsidR="001A16CA" w:rsidRPr="001A16CA">
        <w:rPr>
          <w:rFonts w:hint="eastAsia"/>
        </w:rPr>
        <w:t>公益社団法人日本精神保健福祉士協会　中期計画（２０２６）【計画年度：２０２２～２０２６年度】（概要版）</w:t>
      </w:r>
      <w:r w:rsidR="00303130" w:rsidRPr="00303130">
        <w:t>2025年３月21日一部改訂</w:t>
      </w:r>
    </w:p>
    <w:p w14:paraId="025BAF05" w14:textId="77777777" w:rsidR="00E57300" w:rsidRPr="00303130" w:rsidRDefault="00E57300" w:rsidP="00DD25E4">
      <w:pPr>
        <w:rPr>
          <w:rFonts w:hint="eastAsia"/>
        </w:rPr>
      </w:pPr>
    </w:p>
    <w:p w14:paraId="3139F1F2" w14:textId="19BC538E" w:rsidR="001A16CA" w:rsidRDefault="001A16CA" w:rsidP="001A16CA">
      <w:r>
        <w:rPr>
          <w:rFonts w:hint="eastAsia"/>
        </w:rPr>
        <w:t>人材育成、組織強化、政策提言それぞれの３つの柱として、ミクロ　主体性の尊重、メゾ　多様性の尊重、マクロ　包摂性の追求を定め、それぞれに重点的な取り組みをしめしている。</w:t>
      </w:r>
    </w:p>
    <w:p w14:paraId="76476F45" w14:textId="2A785600" w:rsidR="00910830" w:rsidRDefault="00910830" w:rsidP="001A16CA">
      <w:r>
        <w:rPr>
          <w:rFonts w:hint="eastAsia"/>
        </w:rPr>
        <w:t>なお、重点的な取り組みの各項目の最後に示す委員会等は、主に担当する内部組織名を指す。</w:t>
      </w:r>
    </w:p>
    <w:p w14:paraId="3D30E68F" w14:textId="77777777" w:rsidR="001A16CA" w:rsidRDefault="001A16CA" w:rsidP="00DD25E4"/>
    <w:p w14:paraId="42839A46" w14:textId="7B4CB353" w:rsidR="001A16CA" w:rsidRDefault="001A16CA" w:rsidP="00DD25E4">
      <w:r>
        <w:rPr>
          <w:rFonts w:hint="eastAsia"/>
        </w:rPr>
        <w:t>小見出し　人材育成</w:t>
      </w:r>
    </w:p>
    <w:p w14:paraId="6EA6BC26" w14:textId="662F4A86" w:rsidR="001A16CA" w:rsidRDefault="001A16CA" w:rsidP="00DD25E4">
      <w:r>
        <w:rPr>
          <w:rFonts w:hint="eastAsia"/>
        </w:rPr>
        <w:t>ミクロ　主体性の尊重の重点的な取り組み</w:t>
      </w:r>
    </w:p>
    <w:p w14:paraId="20CA481E" w14:textId="77777777" w:rsidR="00303130" w:rsidRPr="00303130" w:rsidRDefault="00303130" w:rsidP="00303130">
      <w:pPr>
        <w:pStyle w:val="a3"/>
        <w:numPr>
          <w:ilvl w:val="0"/>
          <w:numId w:val="1"/>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自己決定の原理と意思決定支援について学ぶ機会の提供（研修企画運営委員会、研修センター等）</w:t>
      </w:r>
    </w:p>
    <w:p w14:paraId="0B3D7A86" w14:textId="77777777" w:rsidR="00303130" w:rsidRPr="00303130" w:rsidRDefault="00303130" w:rsidP="00303130">
      <w:pPr>
        <w:pStyle w:val="a3"/>
        <w:numPr>
          <w:ilvl w:val="0"/>
          <w:numId w:val="1"/>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専門職として主体的に「自己教育」できる人材の育成（構成員の「さくらセット」利用率</w:t>
      </w:r>
      <w:r w:rsidRPr="00303130">
        <w:rPr>
          <w:rFonts w:asciiTheme="minorHAnsi" w:eastAsiaTheme="minorHAnsi" w:hAnsiTheme="minorHAnsi"/>
          <w:color w:val="000000" w:themeColor="text1"/>
          <w:kern w:val="24"/>
          <w:sz w:val="21"/>
          <w:szCs w:val="21"/>
        </w:rPr>
        <w:t>50％）（研修企画運営委員会）</w:t>
      </w:r>
    </w:p>
    <w:p w14:paraId="50920F11" w14:textId="77777777" w:rsidR="00303130" w:rsidRPr="00303130" w:rsidRDefault="00303130" w:rsidP="00303130">
      <w:pPr>
        <w:pStyle w:val="a3"/>
        <w:numPr>
          <w:ilvl w:val="0"/>
          <w:numId w:val="1"/>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将来ビジョンについて、すべての構成員の理解と実践の促進（都道府県支部、全国大会、機関誌、事務局等）</w:t>
      </w:r>
    </w:p>
    <w:p w14:paraId="7338F8A5" w14:textId="3F447D71" w:rsidR="001A16CA" w:rsidRPr="00303130" w:rsidRDefault="001A16CA" w:rsidP="00DD25E4">
      <w:pPr>
        <w:rPr>
          <w:rFonts w:eastAsiaTheme="minorHAnsi"/>
          <w:szCs w:val="21"/>
        </w:rPr>
      </w:pPr>
    </w:p>
    <w:p w14:paraId="132C5B78" w14:textId="2C39902D" w:rsidR="001A16CA" w:rsidRPr="001A16CA" w:rsidRDefault="001A16CA" w:rsidP="001A16CA">
      <w:pPr>
        <w:rPr>
          <w:rFonts w:eastAsiaTheme="minorHAnsi"/>
          <w:szCs w:val="21"/>
        </w:rPr>
      </w:pPr>
      <w:r w:rsidRPr="001A16CA">
        <w:rPr>
          <w:rFonts w:eastAsiaTheme="minorHAnsi" w:hint="eastAsia"/>
          <w:szCs w:val="21"/>
        </w:rPr>
        <w:t>メゾ　多様性の尊重の重点的な取り組み</w:t>
      </w:r>
    </w:p>
    <w:p w14:paraId="201901C8" w14:textId="77777777" w:rsidR="00303130" w:rsidRPr="00303130" w:rsidRDefault="00303130" w:rsidP="00303130">
      <w:pPr>
        <w:pStyle w:val="a3"/>
        <w:numPr>
          <w:ilvl w:val="0"/>
          <w:numId w:val="2"/>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多様性の尊重について学ぶ機会の提供（研修企画運営委員会）</w:t>
      </w:r>
    </w:p>
    <w:p w14:paraId="7A6621DB" w14:textId="77777777" w:rsidR="00303130" w:rsidRPr="00303130" w:rsidRDefault="00303130" w:rsidP="00303130">
      <w:pPr>
        <w:pStyle w:val="a3"/>
        <w:numPr>
          <w:ilvl w:val="0"/>
          <w:numId w:val="2"/>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各ブロックで認定</w:t>
      </w:r>
      <w:r w:rsidRPr="00303130">
        <w:rPr>
          <w:rFonts w:asciiTheme="minorHAnsi" w:eastAsiaTheme="minorHAnsi" w:hAnsiTheme="minorHAnsi"/>
          <w:color w:val="000000" w:themeColor="text1"/>
          <w:kern w:val="24"/>
          <w:sz w:val="21"/>
          <w:szCs w:val="21"/>
        </w:rPr>
        <w:t>SVRによるGSVを実施（認定SVR養成委員会）</w:t>
      </w:r>
    </w:p>
    <w:p w14:paraId="3B2DC459" w14:textId="77777777" w:rsidR="00303130" w:rsidRPr="00303130" w:rsidRDefault="00303130" w:rsidP="00303130">
      <w:pPr>
        <w:pStyle w:val="a3"/>
        <w:numPr>
          <w:ilvl w:val="0"/>
          <w:numId w:val="2"/>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ブロック等における養成校と都道府県協会等との連携教育の推進（都道府県支部、ブロック会議、理事会）</w:t>
      </w:r>
    </w:p>
    <w:p w14:paraId="14707585" w14:textId="77777777" w:rsidR="001A16CA" w:rsidRPr="001A16CA" w:rsidRDefault="001A16CA" w:rsidP="001A16CA">
      <w:pPr>
        <w:rPr>
          <w:rFonts w:eastAsiaTheme="minorHAnsi"/>
          <w:szCs w:val="21"/>
        </w:rPr>
      </w:pPr>
    </w:p>
    <w:p w14:paraId="27BDD90C" w14:textId="375CE723" w:rsidR="001A16CA" w:rsidRPr="001A16CA" w:rsidRDefault="001A16CA" w:rsidP="001A16CA">
      <w:pPr>
        <w:rPr>
          <w:rFonts w:eastAsiaTheme="minorHAnsi"/>
          <w:szCs w:val="21"/>
        </w:rPr>
      </w:pPr>
      <w:r w:rsidRPr="001A16CA">
        <w:rPr>
          <w:rFonts w:eastAsiaTheme="minorHAnsi" w:hint="eastAsia"/>
          <w:szCs w:val="21"/>
        </w:rPr>
        <w:t>マクロ　包摂性の追求の重点的な取り組み</w:t>
      </w:r>
    </w:p>
    <w:p w14:paraId="3122A048" w14:textId="77777777" w:rsidR="00303130" w:rsidRPr="00303130" w:rsidRDefault="00303130" w:rsidP="00303130">
      <w:pPr>
        <w:pStyle w:val="a3"/>
        <w:numPr>
          <w:ilvl w:val="0"/>
          <w:numId w:val="3"/>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共生社会実現に向けたソーシャルアクションに取り組む人材の育成（研修企画運営委員会）</w:t>
      </w:r>
    </w:p>
    <w:p w14:paraId="186BBFCD" w14:textId="77777777" w:rsidR="00303130" w:rsidRPr="00303130" w:rsidRDefault="00303130" w:rsidP="00303130">
      <w:pPr>
        <w:pStyle w:val="a3"/>
        <w:numPr>
          <w:ilvl w:val="0"/>
          <w:numId w:val="3"/>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新認定精神保健福祉士制度の定着（研修センター、研修企画運営委員会）</w:t>
      </w:r>
    </w:p>
    <w:p w14:paraId="78A9E68C" w14:textId="77777777" w:rsidR="00303130" w:rsidRPr="00303130" w:rsidRDefault="00303130" w:rsidP="00303130">
      <w:pPr>
        <w:pStyle w:val="a3"/>
        <w:numPr>
          <w:ilvl w:val="0"/>
          <w:numId w:val="3"/>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color w:val="000000" w:themeColor="text1"/>
          <w:kern w:val="24"/>
          <w:sz w:val="21"/>
          <w:szCs w:val="21"/>
        </w:rPr>
        <w:t>eラーニング制度の構築（研修企画運営委員会、事務局）</w:t>
      </w:r>
    </w:p>
    <w:p w14:paraId="628493F0" w14:textId="77777777" w:rsidR="001A16CA" w:rsidRDefault="001A16CA" w:rsidP="00DD25E4"/>
    <w:p w14:paraId="57DFDF22" w14:textId="18341356" w:rsidR="001A16CA" w:rsidRDefault="001A16CA" w:rsidP="00DD25E4">
      <w:r>
        <w:rPr>
          <w:rFonts w:hint="eastAsia"/>
        </w:rPr>
        <w:t>小見出し　組織強化</w:t>
      </w:r>
    </w:p>
    <w:p w14:paraId="3EC70E42" w14:textId="2F440BF8" w:rsidR="001A16CA" w:rsidRDefault="001A16CA" w:rsidP="001A16CA">
      <w:r>
        <w:rPr>
          <w:rFonts w:hint="eastAsia"/>
        </w:rPr>
        <w:t>ミクロ　主体性の尊重の重点的な取り組み</w:t>
      </w:r>
    </w:p>
    <w:p w14:paraId="180F8571" w14:textId="77777777" w:rsidR="00303130" w:rsidRPr="00303130" w:rsidRDefault="00303130" w:rsidP="00303130">
      <w:pPr>
        <w:pStyle w:val="a3"/>
        <w:numPr>
          <w:ilvl w:val="0"/>
          <w:numId w:val="4"/>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color w:val="000000" w:themeColor="text1"/>
          <w:kern w:val="24"/>
          <w:sz w:val="21"/>
          <w:szCs w:val="21"/>
        </w:rPr>
        <w:t>2026年度末の構成員数１万３千人</w:t>
      </w:r>
    </w:p>
    <w:p w14:paraId="267F048A" w14:textId="77777777" w:rsidR="00303130" w:rsidRPr="00303130" w:rsidRDefault="00303130" w:rsidP="00303130">
      <w:pPr>
        <w:pStyle w:val="a3"/>
        <w:numPr>
          <w:ilvl w:val="0"/>
          <w:numId w:val="4"/>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全国組織としての組織体制の在り方の検討（組織強化委員会）</w:t>
      </w:r>
    </w:p>
    <w:p w14:paraId="71DDD65B" w14:textId="77777777" w:rsidR="00303130" w:rsidRPr="00303130" w:rsidRDefault="00303130" w:rsidP="00303130">
      <w:pPr>
        <w:pStyle w:val="a3"/>
        <w:numPr>
          <w:ilvl w:val="0"/>
          <w:numId w:val="4"/>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業務指針の活用促進（都道府県支部）</w:t>
      </w:r>
    </w:p>
    <w:p w14:paraId="608BF6DE" w14:textId="05368817" w:rsidR="001A16CA" w:rsidRDefault="001A16CA" w:rsidP="00303130">
      <w:pPr>
        <w:pStyle w:val="a3"/>
        <w:spacing w:line="0" w:lineRule="atLeast"/>
        <w:ind w:leftChars="0" w:left="360"/>
      </w:pPr>
    </w:p>
    <w:p w14:paraId="757AD430" w14:textId="77777777" w:rsidR="001A16CA" w:rsidRPr="001A16CA" w:rsidRDefault="001A16CA" w:rsidP="001A16CA">
      <w:pPr>
        <w:rPr>
          <w:rFonts w:eastAsiaTheme="minorHAnsi"/>
          <w:szCs w:val="21"/>
        </w:rPr>
      </w:pPr>
      <w:r w:rsidRPr="001A16CA">
        <w:rPr>
          <w:rFonts w:eastAsiaTheme="minorHAnsi" w:hint="eastAsia"/>
          <w:szCs w:val="21"/>
        </w:rPr>
        <w:t>メゾ　多様性の尊重の重点的な取り組み</w:t>
      </w:r>
    </w:p>
    <w:p w14:paraId="16C329F3" w14:textId="77777777" w:rsidR="00303130" w:rsidRPr="00303130" w:rsidRDefault="00303130" w:rsidP="00303130">
      <w:pPr>
        <w:pStyle w:val="a3"/>
        <w:numPr>
          <w:ilvl w:val="0"/>
          <w:numId w:val="5"/>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代議員制度の構成員への浸透と代議員機能の有効化の促進（組織強化委員会）</w:t>
      </w:r>
    </w:p>
    <w:p w14:paraId="582CFBA2" w14:textId="77777777" w:rsidR="00303130" w:rsidRPr="00303130" w:rsidRDefault="00303130" w:rsidP="00303130">
      <w:pPr>
        <w:pStyle w:val="a3"/>
        <w:numPr>
          <w:ilvl w:val="0"/>
          <w:numId w:val="5"/>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メディア機能の理解を深め、有益な活用の推進</w:t>
      </w:r>
    </w:p>
    <w:p w14:paraId="50BE6412" w14:textId="77777777" w:rsidR="00303130" w:rsidRPr="00303130" w:rsidRDefault="00303130" w:rsidP="00303130">
      <w:pPr>
        <w:pStyle w:val="a3"/>
        <w:numPr>
          <w:ilvl w:val="0"/>
          <w:numId w:val="5"/>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都道府県支部・ブロック単位での災害支援体制、減災意識に対する普及啓発（災害支援体制整備・復興支援委員会）</w:t>
      </w:r>
    </w:p>
    <w:p w14:paraId="02F5B522" w14:textId="5DA825E8" w:rsidR="001A16CA" w:rsidRDefault="001A16CA" w:rsidP="00303130">
      <w:pPr>
        <w:pStyle w:val="a3"/>
        <w:spacing w:line="0" w:lineRule="atLeast"/>
        <w:ind w:leftChars="0" w:left="360"/>
        <w:rPr>
          <w:rFonts w:eastAsiaTheme="minorHAnsi"/>
          <w:szCs w:val="21"/>
        </w:rPr>
      </w:pPr>
    </w:p>
    <w:p w14:paraId="042B29F4" w14:textId="748A9151" w:rsidR="001A16CA" w:rsidRPr="001A16CA" w:rsidRDefault="001A16CA" w:rsidP="001A16CA">
      <w:pPr>
        <w:rPr>
          <w:rFonts w:eastAsiaTheme="minorHAnsi"/>
          <w:szCs w:val="21"/>
        </w:rPr>
      </w:pPr>
      <w:r w:rsidRPr="001A16CA">
        <w:rPr>
          <w:rFonts w:eastAsiaTheme="minorHAnsi" w:hint="eastAsia"/>
          <w:szCs w:val="21"/>
        </w:rPr>
        <w:t>マクロ　包摂性の追求の重点的な取り組み</w:t>
      </w:r>
    </w:p>
    <w:p w14:paraId="249DF448" w14:textId="77777777" w:rsidR="00303130" w:rsidRPr="00303130" w:rsidRDefault="00303130" w:rsidP="00303130">
      <w:pPr>
        <w:pStyle w:val="a3"/>
        <w:numPr>
          <w:ilvl w:val="0"/>
          <w:numId w:val="6"/>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精神保健福祉士の資格取得者増加策の強化（理事会、事務局）</w:t>
      </w:r>
    </w:p>
    <w:p w14:paraId="5AB133FD" w14:textId="77777777" w:rsidR="00303130" w:rsidRPr="00303130" w:rsidRDefault="00303130" w:rsidP="00303130">
      <w:pPr>
        <w:pStyle w:val="a3"/>
        <w:numPr>
          <w:ilvl w:val="0"/>
          <w:numId w:val="6"/>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構成員が情報や意見交換のできるプラットフォーム環境を検討（事務局）</w:t>
      </w:r>
    </w:p>
    <w:p w14:paraId="5B2455D6" w14:textId="77777777" w:rsidR="00303130" w:rsidRPr="00303130" w:rsidRDefault="00303130" w:rsidP="00303130">
      <w:pPr>
        <w:pStyle w:val="a3"/>
        <w:numPr>
          <w:ilvl w:val="0"/>
          <w:numId w:val="6"/>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lastRenderedPageBreak/>
        <w:t>全国組織としての当事者、家族、他団体等との関係の発展、協働の推進（理事会）</w:t>
      </w:r>
    </w:p>
    <w:p w14:paraId="00C318F0" w14:textId="77777777" w:rsidR="001A16CA" w:rsidRPr="00303130" w:rsidRDefault="001A16CA" w:rsidP="00DD25E4"/>
    <w:p w14:paraId="29D201DE" w14:textId="251374E5" w:rsidR="001A16CA" w:rsidRDefault="001A16CA" w:rsidP="00DD25E4">
      <w:r>
        <w:rPr>
          <w:rFonts w:hint="eastAsia"/>
        </w:rPr>
        <w:t>小見出し　政策提言</w:t>
      </w:r>
    </w:p>
    <w:p w14:paraId="229CB5CE" w14:textId="77777777" w:rsidR="001A16CA" w:rsidRDefault="001A16CA" w:rsidP="001A16CA">
      <w:r>
        <w:rPr>
          <w:rFonts w:hint="eastAsia"/>
        </w:rPr>
        <w:t>ミクロ　主体性の尊重の重点的な取り組み</w:t>
      </w:r>
    </w:p>
    <w:p w14:paraId="73DAF280" w14:textId="77777777" w:rsidR="00303130" w:rsidRPr="00303130" w:rsidRDefault="00303130" w:rsidP="00303130">
      <w:pPr>
        <w:pStyle w:val="a3"/>
        <w:numPr>
          <w:ilvl w:val="0"/>
          <w:numId w:val="7"/>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各制度・政策等（診療報酬・障害福祉サービス・精神保健福祉法）の改定・改正に対するエビデンスに基づいた要望書等の提出（理事会、精神医療委員会、地域精神保健福祉委員会、就労・雇用・産業保健委員会）</w:t>
      </w:r>
    </w:p>
    <w:p w14:paraId="31960A2B" w14:textId="77777777" w:rsidR="00303130" w:rsidRPr="00303130" w:rsidRDefault="00303130" w:rsidP="00303130">
      <w:pPr>
        <w:pStyle w:val="a3"/>
        <w:numPr>
          <w:ilvl w:val="0"/>
          <w:numId w:val="7"/>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協会がかかわる各課題の優先順位を見極めた上で、関連省庁、関係団体等と必要に応じて連携し、課題解決に向け取組む（理事会、事務局等）</w:t>
      </w:r>
    </w:p>
    <w:p w14:paraId="6410DC3A" w14:textId="77777777" w:rsidR="00303130" w:rsidRPr="00303130" w:rsidRDefault="00303130" w:rsidP="00303130">
      <w:pPr>
        <w:pStyle w:val="a3"/>
        <w:numPr>
          <w:ilvl w:val="0"/>
          <w:numId w:val="7"/>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自殺予防、子ども家庭支援、依存症、貧困、災害支援等の各分野について課題解決に向けた検討と提言に対する適切な支援につながる仕組み作り（理事会、自殺対策委員会、子ども・家庭・</w:t>
      </w:r>
      <w:r w:rsidRPr="00303130">
        <w:rPr>
          <w:rFonts w:asciiTheme="minorHAnsi" w:eastAsiaTheme="minorHAnsi" w:hAnsiTheme="minorHAnsi"/>
          <w:color w:val="000000" w:themeColor="text1"/>
          <w:kern w:val="24"/>
          <w:sz w:val="21"/>
          <w:szCs w:val="21"/>
        </w:rPr>
        <w:t>SSW委員会、災害支援体制整備・復興支援委員会）</w:t>
      </w:r>
    </w:p>
    <w:p w14:paraId="5A096A69" w14:textId="4A554346" w:rsidR="001A16CA" w:rsidRPr="00303130" w:rsidRDefault="001A16CA" w:rsidP="00303130">
      <w:pPr>
        <w:spacing w:line="0" w:lineRule="atLeast"/>
        <w:rPr>
          <w:rFonts w:eastAsiaTheme="minorHAnsi" w:hint="eastAsia"/>
          <w:szCs w:val="21"/>
        </w:rPr>
      </w:pPr>
    </w:p>
    <w:p w14:paraId="70F7581B" w14:textId="273291A0" w:rsidR="001A16CA" w:rsidRPr="001A16CA" w:rsidRDefault="001A16CA" w:rsidP="001A16CA">
      <w:pPr>
        <w:rPr>
          <w:rFonts w:eastAsiaTheme="minorHAnsi"/>
          <w:szCs w:val="21"/>
        </w:rPr>
      </w:pPr>
      <w:r w:rsidRPr="001A16CA">
        <w:rPr>
          <w:rFonts w:eastAsiaTheme="minorHAnsi" w:hint="eastAsia"/>
          <w:szCs w:val="21"/>
        </w:rPr>
        <w:t>メゾ　多様性の尊重の重点的な取り組み</w:t>
      </w:r>
    </w:p>
    <w:p w14:paraId="08A551D0" w14:textId="61F30B13" w:rsidR="00303130" w:rsidRPr="00303130" w:rsidRDefault="00303130" w:rsidP="00303130">
      <w:pPr>
        <w:pStyle w:val="a3"/>
        <w:numPr>
          <w:ilvl w:val="0"/>
          <w:numId w:val="8"/>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非自発的入院の在り方に関する調査研究（理事会、精神医療委員会）</w:t>
      </w:r>
    </w:p>
    <w:p w14:paraId="49405913" w14:textId="77777777" w:rsidR="00303130" w:rsidRPr="00303130" w:rsidRDefault="00303130" w:rsidP="00303130">
      <w:pPr>
        <w:pStyle w:val="a3"/>
        <w:numPr>
          <w:ilvl w:val="0"/>
          <w:numId w:val="8"/>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精神障害者の社会的復権に向けた活動について、各都道府県支部・ブロック活動における好事例の情報収集、集約を行い、一般化するためのアクションへと繋げる（理事会、ブロック会議）</w:t>
      </w:r>
    </w:p>
    <w:p w14:paraId="44A616CD" w14:textId="77777777" w:rsidR="00303130" w:rsidRPr="00303130" w:rsidRDefault="00303130" w:rsidP="00303130">
      <w:pPr>
        <w:pStyle w:val="a3"/>
        <w:numPr>
          <w:ilvl w:val="0"/>
          <w:numId w:val="8"/>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高校保健体育への精神保健福祉士の協力を都道府県教育委員会に働きかける（メンタルヘルス・アンチスティグマ委員会・子ども・家庭・</w:t>
      </w:r>
      <w:r w:rsidRPr="00303130">
        <w:rPr>
          <w:rFonts w:asciiTheme="minorHAnsi" w:eastAsiaTheme="minorHAnsi" w:hAnsiTheme="minorHAnsi"/>
          <w:color w:val="000000" w:themeColor="text1"/>
          <w:kern w:val="24"/>
          <w:sz w:val="21"/>
          <w:szCs w:val="21"/>
        </w:rPr>
        <w:t>SSW委員会）</w:t>
      </w:r>
    </w:p>
    <w:p w14:paraId="71722103" w14:textId="32C59BB4" w:rsidR="001A16CA" w:rsidRPr="00910830" w:rsidRDefault="001A16CA" w:rsidP="00303130">
      <w:pPr>
        <w:pStyle w:val="a3"/>
        <w:spacing w:line="0" w:lineRule="atLeast"/>
        <w:ind w:leftChars="0" w:left="360"/>
        <w:rPr>
          <w:rFonts w:eastAsiaTheme="minorHAnsi" w:hint="eastAsia"/>
          <w:color w:val="000000" w:themeColor="text1"/>
          <w:kern w:val="24"/>
          <w:szCs w:val="21"/>
        </w:rPr>
      </w:pPr>
    </w:p>
    <w:p w14:paraId="5BFBED75" w14:textId="36443355" w:rsidR="001A16CA" w:rsidRPr="001A16CA" w:rsidRDefault="001A16CA" w:rsidP="001A16CA">
      <w:pPr>
        <w:rPr>
          <w:rFonts w:eastAsiaTheme="minorHAnsi"/>
          <w:szCs w:val="21"/>
        </w:rPr>
      </w:pPr>
      <w:r w:rsidRPr="001A16CA">
        <w:rPr>
          <w:rFonts w:eastAsiaTheme="minorHAnsi" w:hint="eastAsia"/>
          <w:szCs w:val="21"/>
        </w:rPr>
        <w:t>マクロ　包摂性の追求の重点的な取り組み</w:t>
      </w:r>
    </w:p>
    <w:p w14:paraId="26648F28" w14:textId="1D678AEE" w:rsidR="00303130" w:rsidRPr="00303130" w:rsidRDefault="00303130" w:rsidP="00303130">
      <w:pPr>
        <w:pStyle w:val="a3"/>
        <w:numPr>
          <w:ilvl w:val="0"/>
          <w:numId w:val="9"/>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精神科医療における人員配置基準を一般医療に近づける提言（理事会、精神医療委員会）</w:t>
      </w:r>
    </w:p>
    <w:p w14:paraId="7AD4C90B" w14:textId="77777777" w:rsidR="00303130" w:rsidRPr="00303130" w:rsidRDefault="00303130" w:rsidP="00303130">
      <w:pPr>
        <w:pStyle w:val="a3"/>
        <w:numPr>
          <w:ilvl w:val="0"/>
          <w:numId w:val="9"/>
        </w:numPr>
        <w:spacing w:line="0" w:lineRule="atLeast"/>
        <w:ind w:leftChars="0"/>
        <w:rPr>
          <w:rFonts w:asciiTheme="minorHAnsi" w:eastAsiaTheme="minorHAnsi" w:hAnsiTheme="minorHAnsi"/>
          <w:color w:val="000000" w:themeColor="text1"/>
          <w:kern w:val="24"/>
          <w:sz w:val="21"/>
          <w:szCs w:val="21"/>
        </w:rPr>
      </w:pPr>
      <w:r w:rsidRPr="00303130">
        <w:rPr>
          <w:rFonts w:asciiTheme="minorHAnsi" w:eastAsiaTheme="minorHAnsi" w:hAnsiTheme="minorHAnsi" w:hint="eastAsia"/>
          <w:color w:val="000000" w:themeColor="text1"/>
          <w:kern w:val="24"/>
          <w:sz w:val="21"/>
          <w:szCs w:val="21"/>
        </w:rPr>
        <w:t>精神障害者の社会的復権の実現に向けた精神保健福祉法改正への提言（理事会、委員会）</w:t>
      </w:r>
    </w:p>
    <w:p w14:paraId="60AF2C9E" w14:textId="5031B131" w:rsidR="001A16CA" w:rsidRDefault="001A16CA" w:rsidP="00303130">
      <w:pPr>
        <w:pStyle w:val="a3"/>
        <w:spacing w:line="0" w:lineRule="atLeast"/>
        <w:ind w:leftChars="0" w:left="360"/>
        <w:rPr>
          <w:rFonts w:hint="eastAsia"/>
        </w:rPr>
      </w:pPr>
    </w:p>
    <w:sectPr w:rsidR="001A16CA" w:rsidSect="00DD25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B">
    <w:altName w:val="UD Digi Kyokasho NK-B"/>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26F70"/>
    <w:multiLevelType w:val="hybridMultilevel"/>
    <w:tmpl w:val="AEE06EF0"/>
    <w:lvl w:ilvl="0" w:tplc="4F3AFBB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5080"/>
    <w:multiLevelType w:val="hybridMultilevel"/>
    <w:tmpl w:val="022EDA20"/>
    <w:lvl w:ilvl="0" w:tplc="FCB0889A">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645076"/>
    <w:multiLevelType w:val="hybridMultilevel"/>
    <w:tmpl w:val="159C6F00"/>
    <w:lvl w:ilvl="0" w:tplc="159AFEE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06C90"/>
    <w:multiLevelType w:val="hybridMultilevel"/>
    <w:tmpl w:val="3EA82276"/>
    <w:lvl w:ilvl="0" w:tplc="C4DA7560">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91653"/>
    <w:multiLevelType w:val="hybridMultilevel"/>
    <w:tmpl w:val="ACE6A522"/>
    <w:lvl w:ilvl="0" w:tplc="7444EFF8">
      <w:numFmt w:val="bullet"/>
      <w:lvlText w:val="・"/>
      <w:lvlJc w:val="left"/>
      <w:pPr>
        <w:ind w:left="360" w:hanging="360"/>
      </w:pPr>
      <w:rPr>
        <w:rFonts w:ascii="UD デジタル 教科書体 NK-B" w:eastAsia="UD デジタル 教科書体 NK-B"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B86AFE"/>
    <w:multiLevelType w:val="hybridMultilevel"/>
    <w:tmpl w:val="B6E4BC2E"/>
    <w:lvl w:ilvl="0" w:tplc="0486F168">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BF79B3"/>
    <w:multiLevelType w:val="hybridMultilevel"/>
    <w:tmpl w:val="A4B099F6"/>
    <w:lvl w:ilvl="0" w:tplc="9D041F5E">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7C2474"/>
    <w:multiLevelType w:val="hybridMultilevel"/>
    <w:tmpl w:val="1EEE1350"/>
    <w:lvl w:ilvl="0" w:tplc="8E54BC4C">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B44A2C"/>
    <w:multiLevelType w:val="hybridMultilevel"/>
    <w:tmpl w:val="C67C2DBC"/>
    <w:lvl w:ilvl="0" w:tplc="9F4CC28A">
      <w:numFmt w:val="bullet"/>
      <w:lvlText w:val="・"/>
      <w:lvlJc w:val="left"/>
      <w:pPr>
        <w:ind w:left="360" w:hanging="360"/>
      </w:pPr>
      <w:rPr>
        <w:rFonts w:ascii="UD デジタル 教科書体 NK-B" w:eastAsia="UD デジタル 教科書体 NK-B"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7739199">
    <w:abstractNumId w:val="1"/>
  </w:num>
  <w:num w:numId="2" w16cid:durableId="422189304">
    <w:abstractNumId w:val="7"/>
  </w:num>
  <w:num w:numId="3" w16cid:durableId="544024920">
    <w:abstractNumId w:val="4"/>
  </w:num>
  <w:num w:numId="4" w16cid:durableId="1124664712">
    <w:abstractNumId w:val="2"/>
  </w:num>
  <w:num w:numId="5" w16cid:durableId="1851792151">
    <w:abstractNumId w:val="3"/>
  </w:num>
  <w:num w:numId="6" w16cid:durableId="648293960">
    <w:abstractNumId w:val="6"/>
  </w:num>
  <w:num w:numId="7" w16cid:durableId="1654800271">
    <w:abstractNumId w:val="5"/>
  </w:num>
  <w:num w:numId="8" w16cid:durableId="20058568">
    <w:abstractNumId w:val="0"/>
  </w:num>
  <w:num w:numId="9" w16cid:durableId="1060134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D5"/>
    <w:rsid w:val="001A16CA"/>
    <w:rsid w:val="00303130"/>
    <w:rsid w:val="00313D40"/>
    <w:rsid w:val="0053348E"/>
    <w:rsid w:val="006C55F9"/>
    <w:rsid w:val="00910830"/>
    <w:rsid w:val="00C67359"/>
    <w:rsid w:val="00D953D5"/>
    <w:rsid w:val="00DD25E4"/>
    <w:rsid w:val="00E47401"/>
    <w:rsid w:val="00E5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378AA"/>
  <w15:chartTrackingRefBased/>
  <w15:docId w15:val="{DF4BCC3B-F7BA-41B5-B8F6-3FABB9C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6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C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精神保健医療福祉の将来ビジョン概要版テキストデータ</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精神保健医療福祉の将来ビジョン概要版テキストデータ</dc:title>
  <dc:subject/>
  <dc:creator>公益社団法人日本精神保健福祉士協会</dc:creator>
  <cp:keywords/>
  <dc:description/>
  <cp:lastModifiedBy>jamhsw</cp:lastModifiedBy>
  <cp:revision>4</cp:revision>
  <dcterms:created xsi:type="dcterms:W3CDTF">2025-05-22T03:11:00Z</dcterms:created>
  <dcterms:modified xsi:type="dcterms:W3CDTF">2025-05-22T03:15:00Z</dcterms:modified>
</cp:coreProperties>
</file>